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sz w:val="24"/>
        </w:rPr>
        <w:t>MONITORAMENTO DA ÁGUA TRATADA</w:t>
      </w:r>
    </w:p>
    <w:tbl>
      <w:tblPr>
        <w:tblW w:w="10349" w:type="dxa"/>
        <w:jc w:val="left"/>
        <w:tblInd w:w="-80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5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70"/>
        <w:gridCol w:w="1453"/>
        <w:gridCol w:w="1102"/>
        <w:gridCol w:w="626"/>
        <w:gridCol w:w="476"/>
        <w:gridCol w:w="789"/>
        <w:gridCol w:w="314"/>
        <w:gridCol w:w="945"/>
        <w:gridCol w:w="1"/>
        <w:gridCol w:w="1067"/>
        <w:gridCol w:w="2205"/>
      </w:tblGrid>
      <w:tr>
        <w:trPr>
          <w:trHeight w:val="300" w:hRule="atLeast"/>
        </w:trPr>
        <w:tc>
          <w:tcPr>
            <w:tcW w:w="70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/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ETA DR ARMANDO PANNUNZIO – SAÍDA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</w:p>
        </w:tc>
        <w:tc>
          <w:tcPr>
            <w:tcW w:w="3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366_187488063"/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Novembro</w:t>
            </w:r>
            <w:bookmarkEnd w:id="0"/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2F2F2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PADRÕES INORGÂNICOS E FÍSICO-QUÍMICOS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294" w:hRule="atLeast"/>
        </w:trPr>
        <w:tc>
          <w:tcPr>
            <w:tcW w:w="455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Alumínio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0,04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Bicarbonatos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19,9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Carbonatos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120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Hidróxidos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Cloreto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11,9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Aparente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1,5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Dureza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22,0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Ferro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0,3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0,11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Fluoreto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0,6 - 0,8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0,71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6,0 - 9,5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7,06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0,26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Cloro Residual 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 a 2,0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Água</w:t>
            </w: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Técnicas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327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Contagem Bactérias Heterotróficas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UFC/mL</w:t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Totais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  <w:tr>
        <w:trPr>
          <w:trHeight w:val="306" w:hRule="atLeast"/>
        </w:trPr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hanging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11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/>
                <w:b/>
                <w:bCs/>
                <w:color w:val="0000FF"/>
                <w:lang w:eastAsia="pt-BR"/>
              </w:rPr>
              <w:t>CONSIDERAÇÕES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50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val="en-US" w:eastAsia="pt-BR"/>
              </w:rPr>
              <w:t>1 – Metodologia: "Standard Methods for the Examination of Water and Wastewater" 22ª Ed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50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2 – Legislação: Portaria 2914 de 12 dezembro 2011 - Ministério da Saúde e Resolução SS-65 de 12/04/2005. 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50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3 – Os valores recomendados para a concentração de íon Fluoreto devem atender a legislação Resolução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50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Estadual SS 250 de 15/09/1994.</w:t>
            </w:r>
          </w:p>
        </w:tc>
      </w:tr>
      <w:tr>
        <w:trPr>
          <w:trHeight w:val="336" w:hRule="atLeast"/>
        </w:trPr>
        <w:tc>
          <w:tcPr>
            <w:tcW w:w="1034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50" w:type="dxa"/>
              <w:bottom w:w="70" w:type="dxa"/>
            </w:tcMar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4 – Abreviaturas: VMP - Valor Máximo Permitido; UFC - Unidade Formadora de Colônia. </w:t>
            </w:r>
          </w:p>
        </w:tc>
      </w:tr>
      <w:tr>
        <w:trPr>
          <w:trHeight w:val="23" w:hRule="exact"/>
        </w:trPr>
        <w:tc>
          <w:tcPr>
            <w:tcW w:w="137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45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2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3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2013" w:type="dxa"/>
            <w:gridSpan w:val="3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220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11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lang w:eastAsia="pt-BR"/>
              </w:rPr>
              <w:t>CONCLUSÕES / OBSERVAÇÕES</w:t>
            </w:r>
          </w:p>
        </w:tc>
      </w:tr>
      <w:tr>
        <w:trPr>
          <w:trHeight w:val="325" w:hRule="atLeast"/>
        </w:trPr>
        <w:tc>
          <w:tcPr>
            <w:tcW w:w="10348" w:type="dxa"/>
            <w:gridSpan w:val="11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70" w:type="dxa"/>
              <w:left w:w="50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  <w:t>Os resultados obtidos atendem as limites estabelecidos</w:t>
            </w:r>
          </w:p>
        </w:tc>
      </w:tr>
      <w:tr>
        <w:trPr>
          <w:trHeight w:val="135" w:hRule="exact"/>
        </w:trPr>
        <w:tc>
          <w:tcPr>
            <w:tcW w:w="10348" w:type="dxa"/>
            <w:gridSpan w:val="11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70" w:type="dxa"/>
              <w:left w:w="50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tbl>
      <w:tblPr>
        <w:tblW w:w="10349" w:type="dxa"/>
        <w:jc w:val="left"/>
        <w:tblInd w:w="-79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350"/>
        <w:gridCol w:w="199"/>
        <w:gridCol w:w="1262"/>
        <w:gridCol w:w="1261"/>
        <w:gridCol w:w="2"/>
        <w:gridCol w:w="3275"/>
      </w:tblGrid>
      <w:tr>
        <w:trPr>
          <w:trHeight w:val="300" w:hRule="atLeast"/>
        </w:trPr>
        <w:tc>
          <w:tcPr>
            <w:tcW w:w="707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ETA Éden – SAÍDA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Novembro/2016</w:t>
            </w:r>
          </w:p>
        </w:tc>
      </w:tr>
      <w:tr>
        <w:trPr>
          <w:trHeight w:val="300" w:hRule="atLeast"/>
        </w:trPr>
        <w:tc>
          <w:tcPr>
            <w:tcW w:w="1034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CC" w:fill="F2F2F2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PADRÕES INORGÂNICOS E FÍSICO-QUÍMICOS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126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Alumínio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0,01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Bicarbonatos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55,8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Carbonatos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120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Alcalinidade Hidróxidos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Cloreto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34,7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Aparente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1,5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Dureza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51,0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Ferro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0,3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0,16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Fluoreto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0,6 - 0,8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0,74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6,0 - 9,5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6,97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0,30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Cloro Residual 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0,2 a 2,0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1034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Água</w:t>
            </w:r>
          </w:p>
        </w:tc>
        <w:tc>
          <w:tcPr>
            <w:tcW w:w="327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Técnicas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3277" w:type="dxa"/>
            <w:gridSpan w:val="2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Contagem Bactérias Heterotróficas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UFC/mL</w:t>
            </w:r>
          </w:p>
        </w:tc>
      </w:tr>
      <w:tr>
        <w:trPr>
          <w:trHeight w:val="300" w:hRule="atLeast"/>
        </w:trPr>
        <w:tc>
          <w:tcPr>
            <w:tcW w:w="4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Totais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  <w:tr>
        <w:trPr>
          <w:trHeight w:val="306" w:hRule="atLeast"/>
        </w:trPr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</w:t>
            </w:r>
          </w:p>
        </w:tc>
        <w:tc>
          <w:tcPr>
            <w:tcW w:w="1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bookmarkStart w:id="1" w:name="_GoBack"/>
            <w:bookmarkEnd w:id="1"/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49" w:type="dxa"/>
        <w:jc w:val="left"/>
        <w:tblInd w:w="-781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70"/>
        <w:gridCol w:w="1453"/>
        <w:gridCol w:w="1102"/>
        <w:gridCol w:w="1102"/>
        <w:gridCol w:w="1103"/>
        <w:gridCol w:w="2013"/>
        <w:gridCol w:w="1"/>
        <w:gridCol w:w="2204"/>
      </w:tblGrid>
      <w:tr>
        <w:trPr>
          <w:trHeight w:val="310" w:hRule="atLeast"/>
        </w:trPr>
        <w:tc>
          <w:tcPr>
            <w:tcW w:w="10348" w:type="dxa"/>
            <w:gridSpan w:val="8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/>
                <w:b/>
                <w:b/>
                <w:bCs/>
                <w:color w:val="0000FF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FF"/>
                <w:lang w:eastAsia="pt-BR"/>
              </w:rPr>
              <w:t>CONSIDERAÇÕES</w:t>
            </w:r>
          </w:p>
        </w:tc>
      </w:tr>
      <w:tr>
        <w:trPr>
          <w:trHeight w:val="310" w:hRule="atLeast"/>
        </w:trPr>
        <w:tc>
          <w:tcPr>
            <w:tcW w:w="814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val="en-US" w:eastAsia="pt-BR"/>
              </w:rPr>
              <w:t>1 – Metodologia: "Standard Methods for the Examination of Water and Wastewater" 22ª Ed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val="en-US" w:eastAsia="pt-BR"/>
              </w:rPr>
              <w:t> 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2 – Legislação: Portaria 2914 de 12 dezembro 2011 - Ministério da Saúde e Resolução SS-65 de 12/04/2005. </w:t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3 – Os valores recomendados para a concentração de íon Fluoreto devem atender a legislação Resolução</w:t>
            </w:r>
          </w:p>
        </w:tc>
      </w:tr>
      <w:tr>
        <w:trPr>
          <w:trHeight w:val="310" w:hRule="atLeast"/>
        </w:trPr>
        <w:tc>
          <w:tcPr>
            <w:tcW w:w="28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Estadual SS 250 de 15/09/1994.</w:t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110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01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2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>
        <w:trPr>
          <w:trHeight w:val="336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4 – Abreviaturas: VMP - Valor Máximo Permitido; UFC - Unidade Formadora de Colônia. </w:t>
            </w:r>
          </w:p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</w:tr>
      <w:tr>
        <w:trPr>
          <w:trHeight w:val="23" w:hRule="exact"/>
        </w:trPr>
        <w:tc>
          <w:tcPr>
            <w:tcW w:w="137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45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201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220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310" w:hRule="atLeast"/>
        </w:trPr>
        <w:tc>
          <w:tcPr>
            <w:tcW w:w="10348" w:type="dxa"/>
            <w:gridSpan w:val="8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lang w:eastAsia="pt-BR"/>
              </w:rPr>
              <w:t>CONCLUSÕES / OBSERVAÇÕES</w:t>
            </w:r>
          </w:p>
        </w:tc>
      </w:tr>
      <w:tr>
        <w:trPr>
          <w:trHeight w:val="325" w:hRule="atLeast"/>
        </w:trPr>
        <w:tc>
          <w:tcPr>
            <w:tcW w:w="10348" w:type="dxa"/>
            <w:gridSpan w:val="8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  <w:t>Os resultados obtidos atendem as limites estabelecidos</w:t>
            </w:r>
          </w:p>
        </w:tc>
      </w:tr>
      <w:tr>
        <w:trPr>
          <w:trHeight w:val="23" w:hRule="exact"/>
        </w:trPr>
        <w:tc>
          <w:tcPr>
            <w:tcW w:w="10348" w:type="dxa"/>
            <w:gridSpan w:val="8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tbl>
      <w:tblPr>
        <w:tblW w:w="10349" w:type="dxa"/>
        <w:jc w:val="left"/>
        <w:tblInd w:w="-79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056"/>
        <w:gridCol w:w="1278"/>
        <w:gridCol w:w="1201"/>
        <w:gridCol w:w="540"/>
        <w:gridCol w:w="745"/>
        <w:gridCol w:w="599"/>
        <w:gridCol w:w="602"/>
        <w:gridCol w:w="1327"/>
      </w:tblGrid>
      <w:tr>
        <w:trPr>
          <w:trHeight w:val="300" w:hRule="atLeast"/>
        </w:trPr>
        <w:tc>
          <w:tcPr>
            <w:tcW w:w="70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REPRESA DO CLEMENTE        </w:t>
            </w:r>
          </w:p>
        </w:tc>
        <w:tc>
          <w:tcPr>
            <w:tcW w:w="32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Novembro/2016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PADRÃO DE FÍSICO-QUÍMICO 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a 9,0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7,9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Verdadeira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2,30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DBO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&lt;5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1,6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Fosfato Total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0,030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0,11</w:t>
            </w:r>
          </w:p>
        </w:tc>
      </w:tr>
      <w:tr>
        <w:trPr>
          <w:trHeight w:val="297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NTK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N/C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0,84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OD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&gt;5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7,9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Sólidos Totais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 PARA TRATAMENTO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Resultado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 / Unidade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2528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  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92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NMP/100mL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CONSIDERAÇÕES</w:t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70C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70C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Metodologia: "Standard Methods for the Examination of Water and Wastewater" 20ª Edição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Legislação: Resolução 357 CONAMA de 17 de março de 2005 – Ministério do Meio Ambiente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Abreviaturas: VMP - Valor Máximo Permitido; NMP - Número Mais Provável; N/C – Não consta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OBSERVAÇÕES</w:t>
            </w:r>
          </w:p>
        </w:tc>
        <w:tc>
          <w:tcPr>
            <w:tcW w:w="120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70C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70C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78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Classificação do manancial “Classe 2 “</w:t>
            </w:r>
          </w:p>
        </w:tc>
        <w:tc>
          <w:tcPr>
            <w:tcW w:w="599" w:type="dxa"/>
            <w:tcBorders>
              <w:top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 qualidade da água bruta está adequada para o tratamento de água adotado pelo SAAE.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tbl>
      <w:tblPr>
        <w:tblW w:w="10349" w:type="dxa"/>
        <w:jc w:val="left"/>
        <w:tblInd w:w="-79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056"/>
        <w:gridCol w:w="1278"/>
        <w:gridCol w:w="1201"/>
        <w:gridCol w:w="540"/>
        <w:gridCol w:w="745"/>
        <w:gridCol w:w="599"/>
        <w:gridCol w:w="602"/>
        <w:gridCol w:w="1327"/>
      </w:tblGrid>
      <w:tr>
        <w:trPr>
          <w:trHeight w:val="300" w:hRule="atLeast"/>
        </w:trPr>
        <w:tc>
          <w:tcPr>
            <w:tcW w:w="70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REPRESA IPANEMINHA        </w:t>
            </w:r>
          </w:p>
        </w:tc>
        <w:tc>
          <w:tcPr>
            <w:tcW w:w="32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Novembro/2016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PADRÃO DE FÍSICO-QUÍMICO 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a 9,0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7,4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Verdadeira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63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12,20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DBO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&lt;5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2,1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Fosfato Total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0,030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0,05</w:t>
            </w:r>
          </w:p>
        </w:tc>
      </w:tr>
      <w:tr>
        <w:trPr>
          <w:trHeight w:val="297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NTK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N/C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0,71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OD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&gt;5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6,3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Sólidos Totais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106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 PARA TRATAMENTO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Resultado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 / Unidade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2528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  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val="en-US" w:eastAsia="pt-BR"/>
              </w:rPr>
              <w:t>540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NMP/100mL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6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132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val="en-US" w:eastAsia="pt-BR"/>
              </w:rPr>
              <w:t xml:space="preserve">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val="en-US" w:eastAsia="pt-BR"/>
              </w:rPr>
              <w:t>CONSIDERAÇÕES</w:t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70C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70C0"/>
                <w:sz w:val="21"/>
                <w:szCs w:val="21"/>
                <w:lang w:val="en-US"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6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  <w:tc>
          <w:tcPr>
            <w:tcW w:w="132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Metodologia: "Standard Methods for the Examination of Water and Wastewater" 20ª Edição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Legislação: Resolução 357 CONAMA de 17 de março de 2005 – Ministério do Meio Ambiente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Abreviaturas: VMP - Valor Máximo Permitido; NMP - Número Mais Provável; N/C – Não consta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OBSERVAÇÕES</w:t>
            </w:r>
          </w:p>
        </w:tc>
        <w:tc>
          <w:tcPr>
            <w:tcW w:w="120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70C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70C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78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Classificação do manancial “Classe 2 “</w:t>
            </w:r>
          </w:p>
        </w:tc>
        <w:tc>
          <w:tcPr>
            <w:tcW w:w="599" w:type="dxa"/>
            <w:tcBorders>
              <w:top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 qualidade da água bruta está adequada para o tratamento de água adotado pelo SAAE.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DIRETORIA DE PRODUÇÃO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DEPARTAMENTO DE TRATAMENTO DE ÁGUA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SETOR DE QUALIDADE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MONITORAMENTO DA ÁGUA TRATADA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tbl>
      <w:tblPr>
        <w:tblW w:w="10349" w:type="dxa"/>
        <w:jc w:val="left"/>
        <w:tblInd w:w="-79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056"/>
        <w:gridCol w:w="1278"/>
        <w:gridCol w:w="1201"/>
        <w:gridCol w:w="540"/>
        <w:gridCol w:w="745"/>
        <w:gridCol w:w="599"/>
        <w:gridCol w:w="602"/>
        <w:gridCol w:w="1327"/>
      </w:tblGrid>
      <w:tr>
        <w:trPr>
          <w:trHeight w:val="300" w:hRule="atLeast"/>
        </w:trPr>
        <w:tc>
          <w:tcPr>
            <w:tcW w:w="70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LOCAL :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REPRESA DO FERRAZ   </w:t>
            </w:r>
          </w:p>
        </w:tc>
        <w:tc>
          <w:tcPr>
            <w:tcW w:w="32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Novembro/2016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PADRÃO DE FÍSICO-QUÍMICO 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>
        <w:trPr>
          <w:trHeight w:val="300" w:hRule="atLeast"/>
        </w:trPr>
        <w:tc>
          <w:tcPr>
            <w:tcW w:w="40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pH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6,0 a 9,0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7,4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Cor Verdadeira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uH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91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uT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12,72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DBO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&lt;5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1,24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Fosfato Total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0,030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0,08</w:t>
            </w:r>
          </w:p>
        </w:tc>
      </w:tr>
      <w:tr>
        <w:trPr>
          <w:trHeight w:val="297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NTK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N/C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0,93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 xml:space="preserve">OD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&gt;5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5,5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Sólidos Totais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mg/L</w:t>
            </w:r>
          </w:p>
        </w:tc>
        <w:tc>
          <w:tcPr>
            <w:tcW w:w="2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166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 PARA TRATAMENTO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Resultado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Técnica / Unidade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2528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Coliformes Termotolerantes  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pt-BR"/>
              </w:rPr>
              <w:t>140</w:t>
            </w:r>
          </w:p>
        </w:tc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NMP/100mL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CONSIDERAÇÕES</w:t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70C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70C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pt-BR"/>
              </w:rPr>
              <w:t>Metodologia: "Standard Methods for the Examination of Water and Wastewater" 20ª Edição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Legislação: Resolução 357 CONAMA de 17 de março de 2005 – Ministério do Meio Ambiente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Abreviaturas: VMP - Valor Máximo Permitido; NMP - Número Mais Provável; N/C – Não consta</w:t>
            </w:r>
          </w:p>
        </w:tc>
      </w:tr>
      <w:tr>
        <w:trPr>
          <w:trHeight w:val="300" w:hRule="atLeast"/>
        </w:trPr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3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FF"/>
                <w:sz w:val="21"/>
                <w:szCs w:val="21"/>
                <w:lang w:eastAsia="pt-BR"/>
              </w:rPr>
              <w:t>OBSERVAÇÕES</w:t>
            </w:r>
          </w:p>
        </w:tc>
        <w:tc>
          <w:tcPr>
            <w:tcW w:w="120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70C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70C0"/>
                <w:sz w:val="21"/>
                <w:szCs w:val="21"/>
                <w:lang w:eastAsia="pt-BR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599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60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  <w:tc>
          <w:tcPr>
            <w:tcW w:w="132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78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Classificação do manancial “Classe 2 “</w:t>
            </w:r>
          </w:p>
        </w:tc>
        <w:tc>
          <w:tcPr>
            <w:tcW w:w="599" w:type="dxa"/>
            <w:tcBorders>
              <w:top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3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pt-BR"/>
              </w:rPr>
              <w:t>A qualidade da água bruta está adequada para o tratamento de água adotado pelo SAAE.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624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4846955" cy="628015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46955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85e4d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485e4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85e4d"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85e4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85e4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485e4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85e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LibreOffice/5.1.3.2$Windows_x86 LibreOffice_project/644e4637d1d8544fd9f56425bd6cec110e49301b</Application>
  <Pages>5</Pages>
  <Words>817</Words>
  <Characters>4563</Characters>
  <CharactersWithSpaces>5201</CharactersWithSpaces>
  <Paragraphs>402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2015-08-14T17:29:00Z</dcterms:created>
  <dc:creator>Vânia</dc:creator>
  <dc:description/>
  <dc:language>pt-BR</dc:language>
  <cp:lastModifiedBy/>
  <cp:lastPrinted>2015-08-14T17:33:00Z</cp:lastPrinted>
  <dcterms:modified xsi:type="dcterms:W3CDTF">2016-12-07T07:54:00Z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